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25196" w14:textId="4915AAEE" w:rsidR="00EE43CE" w:rsidRPr="00EE43CE" w:rsidRDefault="00D07D15" w:rsidP="00EE43CE">
      <w:pPr>
        <w:pStyle w:val="Titolo1"/>
        <w:shd w:val="clear" w:color="auto" w:fill="FFFFFF"/>
        <w:spacing w:before="0" w:after="120"/>
        <w:jc w:val="center"/>
        <w:rPr>
          <w:rFonts w:ascii="Titillium Web" w:hAnsi="Titillium Web"/>
          <w:color w:val="004A87"/>
          <w:spacing w:val="-18"/>
        </w:rPr>
      </w:pPr>
      <w:r w:rsidRPr="00EE43CE">
        <w:rPr>
          <w:rFonts w:ascii="Titillium Web" w:hAnsi="Titillium Web"/>
          <w:color w:val="004A87"/>
          <w:spacing w:val="-18"/>
        </w:rPr>
        <w:t>Whistleblowing</w:t>
      </w:r>
    </w:p>
    <w:p w14:paraId="38365799" w14:textId="5F4B591B" w:rsidR="00D07D15" w:rsidRPr="00EE43CE" w:rsidRDefault="00D07D15" w:rsidP="00EE43CE">
      <w:pPr>
        <w:pStyle w:val="Titolo1"/>
        <w:shd w:val="clear" w:color="auto" w:fill="FFFFFF"/>
        <w:spacing w:before="0" w:after="120"/>
        <w:jc w:val="center"/>
        <w:rPr>
          <w:rFonts w:ascii="Titillium Web" w:hAnsi="Titillium Web"/>
          <w:color w:val="004A87"/>
          <w:spacing w:val="-18"/>
        </w:rPr>
      </w:pPr>
      <w:r w:rsidRPr="00EE43CE">
        <w:rPr>
          <w:rFonts w:ascii="Titillium Web" w:hAnsi="Titillium Web"/>
          <w:color w:val="004A87"/>
          <w:spacing w:val="-18"/>
        </w:rPr>
        <w:t>D.lgs. n. 24/2023 attuativo della Direttiva Europea n. 1937/2019</w:t>
      </w:r>
    </w:p>
    <w:p w14:paraId="17CB5ED4" w14:textId="77777777" w:rsidR="00D07D15" w:rsidRDefault="00D07D15" w:rsidP="00D07D15">
      <w:pPr>
        <w:pStyle w:val="NormaleWeb"/>
        <w:shd w:val="clear" w:color="auto" w:fill="FFFFFF"/>
        <w:spacing w:before="0" w:beforeAutospacing="0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Il Decreto Legislativo 24/2023, pubblicato in Gazzetta Ufficiale n. 63 del 15 marzo 2023, raccoglie in un unico testo normativo l’intera disciplina dei canali di segnalazione di illeciti e delle tutele riconosciute ai segnalanti, finalizzata a una maggiore tutela del whistleblower (“informatore” tradotto in italiano), in modo che lo stesso sia maggiormente incentivato all’effettuazione di segnalazioni di illeciti nei limiti e con le modalità indicate nel decreto. </w:t>
      </w:r>
    </w:p>
    <w:p w14:paraId="7001A11C" w14:textId="50155FEC" w:rsidR="00D07D15" w:rsidRDefault="00D07D15" w:rsidP="00D07D15">
      <w:pPr>
        <w:pStyle w:val="NormaleWeb"/>
        <w:shd w:val="clear" w:color="auto" w:fill="FFFFFF"/>
        <w:spacing w:before="0" w:beforeAutospacing="0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Tra gli allegati è possibile prendere visione del testo completo</w:t>
      </w:r>
      <w:r w:rsidR="00EE43CE">
        <w:rPr>
          <w:rFonts w:ascii="Titillium Web" w:hAnsi="Titillium Web"/>
          <w:color w:val="19191A"/>
          <w:sz w:val="27"/>
          <w:szCs w:val="27"/>
        </w:rPr>
        <w:t xml:space="preserve"> del Decreto Legislativo 10 marzo 2023, n.24.</w:t>
      </w:r>
      <w:r>
        <w:rPr>
          <w:rFonts w:ascii="Titillium Web" w:hAnsi="Titillium Web"/>
          <w:color w:val="19191A"/>
          <w:sz w:val="27"/>
          <w:szCs w:val="27"/>
        </w:rPr>
        <w:t xml:space="preserve">  </w:t>
      </w:r>
    </w:p>
    <w:p w14:paraId="098EB4EC" w14:textId="77777777" w:rsidR="00D07D15" w:rsidRDefault="00D07D15" w:rsidP="00D07D15">
      <w:pPr>
        <w:pStyle w:val="NormaleWeb"/>
        <w:shd w:val="clear" w:color="auto" w:fill="FFFFFF"/>
        <w:spacing w:before="0" w:beforeAutospacing="0"/>
        <w:jc w:val="both"/>
        <w:rPr>
          <w:rFonts w:ascii="Titillium Web" w:hAnsi="Titillium Web"/>
          <w:color w:val="19191A"/>
          <w:sz w:val="27"/>
          <w:szCs w:val="27"/>
        </w:rPr>
      </w:pPr>
      <w:r w:rsidRPr="00EE43CE">
        <w:rPr>
          <w:rFonts w:ascii="Titillium Web" w:hAnsi="Titillium Web"/>
          <w:color w:val="19191A"/>
          <w:sz w:val="27"/>
          <w:szCs w:val="27"/>
        </w:rPr>
        <w:t>Il whistleblower</w:t>
      </w:r>
      <w:r w:rsidRPr="00EE43CE">
        <w:rPr>
          <w:b/>
          <w:bCs/>
          <w:color w:val="19191A"/>
        </w:rPr>
        <w:t> </w:t>
      </w:r>
      <w:r>
        <w:rPr>
          <w:rFonts w:ascii="Titillium Web" w:hAnsi="Titillium Web"/>
          <w:color w:val="19191A"/>
          <w:sz w:val="27"/>
          <w:szCs w:val="27"/>
        </w:rPr>
        <w:t>è la persona che segnala, divulga o denuncia all’Autorità giudiziaria o contabile, violazioni di disposizioni normative nazionali o dell’Unione europea che ledono l’interesse pubblico o l’integrità dell’amministrazione pubblica o dell’ente privato, di cui è venuta a conoscenza in un contesto lavorativo pubblico o privato.</w:t>
      </w:r>
    </w:p>
    <w:p w14:paraId="42BF7E0D" w14:textId="77777777" w:rsidR="00D07D15" w:rsidRDefault="00D07D15" w:rsidP="00D07D15">
      <w:pPr>
        <w:pStyle w:val="NormaleWeb"/>
        <w:shd w:val="clear" w:color="auto" w:fill="FFFFFF"/>
        <w:spacing w:before="0" w:beforeAutospacing="0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Le seguenti categorie di soggetti possono inoltrare una segnalazione di condotte illecite:</w:t>
      </w:r>
    </w:p>
    <w:p w14:paraId="47539B07" w14:textId="77777777" w:rsidR="00D07D15" w:rsidRDefault="00D07D15" w:rsidP="00D07D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Dipendenti delle pubbliche amministrazioni di cui all’art. 1, co. 2, e art. 3 d.lgs. n. 165/2001, rispettivamente con rapporto di lavoro di diritto privato o con rapporto di lavoro assoggettato a regime pubblicistico</w:t>
      </w:r>
    </w:p>
    <w:p w14:paraId="6D6F415E" w14:textId="77777777" w:rsidR="00D07D15" w:rsidRDefault="00D07D15" w:rsidP="00D07D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Dipendenti delle Autorità amministrative indipendenti</w:t>
      </w:r>
    </w:p>
    <w:p w14:paraId="602BAD94" w14:textId="77777777" w:rsidR="00D07D15" w:rsidRDefault="00D07D15" w:rsidP="00D07D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Dipendenti degli enti pubblici economici</w:t>
      </w:r>
    </w:p>
    <w:p w14:paraId="06AEFF7B" w14:textId="77777777" w:rsidR="00D07D15" w:rsidRDefault="00D07D15" w:rsidP="00D07D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Dipendenti di società in controllo pubblico ex art. 2, co. 1, lett. m) del d.lgs. n. 175/2016 anche se quotate</w:t>
      </w:r>
    </w:p>
    <w:p w14:paraId="028BB6B4" w14:textId="77777777" w:rsidR="00D07D15" w:rsidRDefault="00D07D15" w:rsidP="00D07D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Dipendenti delle società in house anche se quotate</w:t>
      </w:r>
    </w:p>
    <w:p w14:paraId="44ECC087" w14:textId="77777777" w:rsidR="00D07D15" w:rsidRDefault="00D07D15" w:rsidP="00D07D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Dipendenti di altri enti di diritto privato in controllo</w:t>
      </w:r>
    </w:p>
    <w:p w14:paraId="49A2CA2B" w14:textId="77777777" w:rsidR="00D07D15" w:rsidRDefault="00D07D15" w:rsidP="00D07D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Dipendenti di altri enti di diritto privato in controllo pubblico (associazioni, fondazioni ed enti di diritto privato comunque denominati) ex art. 2-bis, co. 2, lett. c) del d.lgs. n. 33/2013</w:t>
      </w:r>
    </w:p>
    <w:p w14:paraId="0532BD46" w14:textId="77777777" w:rsidR="00D07D15" w:rsidRDefault="00D07D15" w:rsidP="00D07D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Dipendenti degli organismi di diritto pubblico</w:t>
      </w:r>
    </w:p>
    <w:p w14:paraId="0693DE41" w14:textId="77777777" w:rsidR="00D07D15" w:rsidRDefault="00D07D15" w:rsidP="00D07D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Dipendenti dei concessionari di pubblico servizio</w:t>
      </w:r>
    </w:p>
    <w:p w14:paraId="71C22373" w14:textId="77777777" w:rsidR="00D07D15" w:rsidRDefault="00D07D15" w:rsidP="00D07D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lastRenderedPageBreak/>
        <w:t>Lavoratori autonomi che svolgono la propria attività lavorativa presso soggetti del settore pubblico</w:t>
      </w:r>
    </w:p>
    <w:p w14:paraId="3FD6E9B0" w14:textId="77777777" w:rsidR="00D07D15" w:rsidRDefault="00D07D15" w:rsidP="00D07D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Lavoratori o collaboratori che svolgono la propria attività lavorativa presso soggetti del settore pubblico che forniscono beni o servizi o che realizzano opere in favore di terzi</w:t>
      </w:r>
    </w:p>
    <w:p w14:paraId="32CFE8F8" w14:textId="77777777" w:rsidR="00D07D15" w:rsidRDefault="00D07D15" w:rsidP="00D07D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Liberi professionisti e consulenti che prestano la propria attività presso soggetti del settore pubblico</w:t>
      </w:r>
    </w:p>
    <w:p w14:paraId="6D293860" w14:textId="77777777" w:rsidR="00D07D15" w:rsidRDefault="00D07D15" w:rsidP="00D07D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Volontari e tirocinanti, retribuiti e non retribuiti, che prestano la propria attività presso soggetti del settore pubblico</w:t>
      </w:r>
    </w:p>
    <w:p w14:paraId="6164A340" w14:textId="77777777" w:rsidR="00D07D15" w:rsidRDefault="00D07D15" w:rsidP="00D07D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Azionisti (persone fisiche)</w:t>
      </w:r>
    </w:p>
    <w:p w14:paraId="6CD7A923" w14:textId="77777777" w:rsidR="00D07D15" w:rsidRDefault="00D07D15" w:rsidP="00D07D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Persone con funzioni di amministrazione, direzione, controllo, vigilanza o rappresentanza, anche qualora tali funzioni siano esercitate in via di mero fatto, presso soggetti del settore pubblico</w:t>
      </w:r>
    </w:p>
    <w:p w14:paraId="28808A38" w14:textId="77777777" w:rsidR="00D07D15" w:rsidRDefault="00D07D15" w:rsidP="00D07D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Per tutti i suddetti soggetti, la tutela si applica anche durante il periodo di prova e anteriormente o successivamente alla costituzione del rapporto di lavoro o altro rapporto giuridico</w:t>
      </w:r>
    </w:p>
    <w:p w14:paraId="66434C66" w14:textId="77777777" w:rsidR="00D07D15" w:rsidRDefault="00D07D15" w:rsidP="00D07D15">
      <w:pPr>
        <w:pStyle w:val="NormaleWeb"/>
        <w:shd w:val="clear" w:color="auto" w:fill="FFFFFF"/>
        <w:spacing w:before="0" w:beforeAutospacing="0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Le disposizioni del decreto non si applicano «alle contestazioni, rivendicazioni o richieste legate ad un interesse di carattere personale della persona segnalante che attengono esclusivamente ai propri rapporti individuali di lavoro o di impiego pubblico, ovvero inerenti ai propri rapporti di lavoro o di impiego pubblico con le figure gerarchicamente sovraordinate».</w:t>
      </w:r>
    </w:p>
    <w:p w14:paraId="3ED6DEE3" w14:textId="77777777" w:rsidR="00D07D15" w:rsidRDefault="00D07D15" w:rsidP="00D07D15">
      <w:pPr>
        <w:pStyle w:val="Titolo3"/>
        <w:shd w:val="clear" w:color="auto" w:fill="FFFFFF"/>
        <w:spacing w:before="0" w:after="450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236FA1"/>
          <w:sz w:val="36"/>
          <w:szCs w:val="36"/>
        </w:rPr>
        <w:t>Quando si può segnalare?</w:t>
      </w:r>
    </w:p>
    <w:p w14:paraId="543191A4" w14:textId="77777777" w:rsidR="00D07D15" w:rsidRDefault="00D07D15" w:rsidP="00D07D1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Quando il rapporto giuridico è in corso;</w:t>
      </w:r>
    </w:p>
    <w:p w14:paraId="0CAD1EFE" w14:textId="44154330" w:rsidR="00D07D15" w:rsidRDefault="00D07D15" w:rsidP="00D07D1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Quando il rapporto giuridico non è ancora iniziato, se le informazioni sulle violazioni sono state acquisite</w:t>
      </w:r>
      <w:r w:rsidR="00006966">
        <w:rPr>
          <w:rFonts w:ascii="Titillium Web" w:hAnsi="Titillium Web"/>
          <w:color w:val="19191A"/>
          <w:sz w:val="27"/>
          <w:szCs w:val="27"/>
        </w:rPr>
        <w:t xml:space="preserve"> </w:t>
      </w:r>
      <w:r>
        <w:rPr>
          <w:rFonts w:ascii="Titillium Web" w:hAnsi="Titillium Web"/>
          <w:color w:val="19191A"/>
          <w:sz w:val="27"/>
          <w:szCs w:val="27"/>
        </w:rPr>
        <w:t>durante il processo di selezione o in altre fasi precontrattuali;</w:t>
      </w:r>
    </w:p>
    <w:p w14:paraId="688AA4A7" w14:textId="77777777" w:rsidR="00D07D15" w:rsidRDefault="00D07D15" w:rsidP="00D07D1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Durante il periodo di prova;</w:t>
      </w:r>
    </w:p>
    <w:p w14:paraId="29DB8538" w14:textId="7EBF5529" w:rsidR="00D07D15" w:rsidRDefault="00D07D15" w:rsidP="00D07D1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Successivamente allo scioglimento del rapporto giuridico se le informazioni sulle violazioni sono state</w:t>
      </w:r>
      <w:r w:rsidR="00006966">
        <w:rPr>
          <w:rFonts w:ascii="Titillium Web" w:hAnsi="Titillium Web"/>
          <w:color w:val="19191A"/>
          <w:sz w:val="27"/>
          <w:szCs w:val="27"/>
        </w:rPr>
        <w:t xml:space="preserve"> </w:t>
      </w:r>
      <w:r>
        <w:rPr>
          <w:rFonts w:ascii="Titillium Web" w:hAnsi="Titillium Web"/>
          <w:color w:val="19191A"/>
          <w:sz w:val="27"/>
          <w:szCs w:val="27"/>
        </w:rPr>
        <w:t>acquisite prima dello scioglimento del rapporto stesso.</w:t>
      </w:r>
    </w:p>
    <w:p w14:paraId="6592740F" w14:textId="77777777" w:rsidR="00D07D15" w:rsidRDefault="00D07D15" w:rsidP="00D07D15">
      <w:pPr>
        <w:pStyle w:val="Titolo3"/>
        <w:shd w:val="clear" w:color="auto" w:fill="FFFFFF"/>
        <w:spacing w:before="0" w:after="450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236FA1"/>
          <w:sz w:val="36"/>
          <w:szCs w:val="36"/>
        </w:rPr>
        <w:lastRenderedPageBreak/>
        <w:t>Quali sono i canali di segnalazione?</w:t>
      </w:r>
    </w:p>
    <w:p w14:paraId="3E7B3E90" w14:textId="77777777" w:rsidR="00D07D15" w:rsidRPr="00006966" w:rsidRDefault="00D07D15" w:rsidP="00D07D15">
      <w:pPr>
        <w:pStyle w:val="NormaleWeb"/>
        <w:shd w:val="clear" w:color="auto" w:fill="FFFFFF"/>
        <w:spacing w:before="0" w:beforeAutospacing="0"/>
        <w:jc w:val="both"/>
        <w:rPr>
          <w:rFonts w:ascii="Titillium Web" w:hAnsi="Titillium Web"/>
          <w:color w:val="19191A"/>
          <w:sz w:val="27"/>
          <w:szCs w:val="27"/>
        </w:rPr>
      </w:pPr>
      <w:r w:rsidRPr="00006966">
        <w:rPr>
          <w:rFonts w:ascii="Titillium Web" w:hAnsi="Titillium Web"/>
          <w:color w:val="000000"/>
          <w:sz w:val="27"/>
          <w:szCs w:val="27"/>
        </w:rPr>
        <w:t>La scelta del canale di segnalazione </w:t>
      </w:r>
      <w:r w:rsidRPr="00006966">
        <w:rPr>
          <w:rStyle w:val="Enfasigrassetto"/>
          <w:rFonts w:ascii="Titillium Web" w:hAnsi="Titillium Web"/>
          <w:b w:val="0"/>
          <w:bCs w:val="0"/>
          <w:color w:val="000000"/>
          <w:sz w:val="27"/>
          <w:szCs w:val="27"/>
        </w:rPr>
        <w:t>non è rimessa alla discrezione del whistleblower</w:t>
      </w:r>
      <w:r w:rsidRPr="00006966">
        <w:rPr>
          <w:rFonts w:ascii="Titillium Web" w:hAnsi="Titillium Web"/>
          <w:color w:val="000000"/>
          <w:sz w:val="27"/>
          <w:szCs w:val="27"/>
        </w:rPr>
        <w:t> in quanto in via prioritaria è favorito l’utilizzo del </w:t>
      </w:r>
      <w:r w:rsidRPr="00006966">
        <w:rPr>
          <w:rStyle w:val="Enfasicorsivo"/>
          <w:rFonts w:ascii="Titillium Web" w:hAnsi="Titillium Web"/>
          <w:i w:val="0"/>
          <w:iCs w:val="0"/>
          <w:color w:val="000000"/>
          <w:sz w:val="27"/>
          <w:szCs w:val="27"/>
        </w:rPr>
        <w:t>canale interno.</w:t>
      </w:r>
    </w:p>
    <w:p w14:paraId="191BEF5C" w14:textId="77777777" w:rsidR="00D07D15" w:rsidRDefault="00D07D15" w:rsidP="00D07D15">
      <w:pPr>
        <w:pStyle w:val="Titolo4"/>
        <w:shd w:val="clear" w:color="auto" w:fill="FFFFFF"/>
        <w:spacing w:before="0" w:after="120"/>
        <w:rPr>
          <w:rFonts w:ascii="Titillium Web" w:hAnsi="Titillium Web"/>
          <w:color w:val="19191A"/>
          <w:sz w:val="24"/>
          <w:szCs w:val="24"/>
        </w:rPr>
      </w:pPr>
      <w:r>
        <w:rPr>
          <w:rFonts w:ascii="Titillium Web" w:hAnsi="Titillium Web"/>
          <w:color w:val="236FA1"/>
          <w:sz w:val="36"/>
          <w:szCs w:val="36"/>
        </w:rPr>
        <w:t>1. Canale interno</w:t>
      </w:r>
    </w:p>
    <w:p w14:paraId="5FBA561D" w14:textId="107D789E" w:rsidR="00D07D15" w:rsidRDefault="00D07D15" w:rsidP="00D07D15">
      <w:pPr>
        <w:pStyle w:val="NormaleWeb"/>
        <w:shd w:val="clear" w:color="auto" w:fill="FFFFFF"/>
        <w:spacing w:before="0" w:beforeAutospacing="0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 xml:space="preserve">L’art. 4 comma 5 del </w:t>
      </w:r>
      <w:r w:rsidR="00006966">
        <w:rPr>
          <w:rFonts w:ascii="Titillium Web" w:hAnsi="Titillium Web"/>
          <w:color w:val="19191A"/>
          <w:sz w:val="27"/>
          <w:szCs w:val="27"/>
        </w:rPr>
        <w:t>già menzionato</w:t>
      </w:r>
      <w:r>
        <w:rPr>
          <w:rFonts w:ascii="Titillium Web" w:hAnsi="Titillium Web"/>
          <w:color w:val="19191A"/>
          <w:sz w:val="27"/>
          <w:szCs w:val="27"/>
        </w:rPr>
        <w:t xml:space="preserve"> decreto stabilisce che, per i soggetti del settore pubblico che sono tenuti ad istituire la figura del</w:t>
      </w:r>
      <w:r w:rsidRPr="00006966">
        <w:rPr>
          <w:rFonts w:ascii="Titillium Web" w:hAnsi="Titillium Web"/>
          <w:i/>
          <w:iCs/>
          <w:color w:val="19191A"/>
          <w:sz w:val="27"/>
          <w:szCs w:val="27"/>
        </w:rPr>
        <w:t> </w:t>
      </w:r>
      <w:r w:rsidRPr="00006966">
        <w:rPr>
          <w:rStyle w:val="Enfasicorsivo"/>
          <w:rFonts w:ascii="Titillium Web" w:hAnsi="Titillium Web"/>
          <w:i w:val="0"/>
          <w:iCs w:val="0"/>
          <w:color w:val="19191A"/>
          <w:sz w:val="27"/>
          <w:szCs w:val="27"/>
        </w:rPr>
        <w:t>Responsabile della Prevenzione della Corruzione e della Trasparenza</w:t>
      </w:r>
      <w:r w:rsidRPr="00006966">
        <w:rPr>
          <w:rFonts w:ascii="Titillium Web" w:hAnsi="Titillium Web"/>
          <w:i/>
          <w:iCs/>
          <w:color w:val="19191A"/>
          <w:sz w:val="27"/>
          <w:szCs w:val="27"/>
        </w:rPr>
        <w:t> </w:t>
      </w:r>
      <w:r w:rsidR="00006966" w:rsidRPr="00006966">
        <w:rPr>
          <w:rFonts w:ascii="Titillium Web" w:hAnsi="Titillium Web"/>
          <w:color w:val="19191A"/>
          <w:sz w:val="27"/>
          <w:szCs w:val="27"/>
        </w:rPr>
        <w:t>(</w:t>
      </w:r>
      <w:r w:rsidRPr="00006966">
        <w:rPr>
          <w:rFonts w:ascii="Titillium Web" w:hAnsi="Titillium Web"/>
          <w:color w:val="19191A"/>
          <w:sz w:val="27"/>
          <w:szCs w:val="27"/>
        </w:rPr>
        <w:t>di seguito </w:t>
      </w:r>
      <w:r w:rsidRPr="00006966">
        <w:rPr>
          <w:rStyle w:val="Enfasigrassetto"/>
          <w:rFonts w:ascii="Titillium Web" w:hAnsi="Titillium Web"/>
          <w:b w:val="0"/>
          <w:bCs w:val="0"/>
          <w:color w:val="19191A"/>
          <w:sz w:val="27"/>
          <w:szCs w:val="27"/>
        </w:rPr>
        <w:t>RPCT</w:t>
      </w:r>
      <w:r w:rsidRPr="00006966">
        <w:rPr>
          <w:rFonts w:ascii="Titillium Web" w:hAnsi="Titillium Web"/>
          <w:color w:val="19191A"/>
          <w:sz w:val="27"/>
          <w:szCs w:val="27"/>
        </w:rPr>
        <w:t>)</w:t>
      </w:r>
      <w:r w:rsidRPr="00006966">
        <w:rPr>
          <w:rFonts w:ascii="Titillium Web" w:hAnsi="Titillium Web"/>
          <w:i/>
          <w:iCs/>
          <w:color w:val="19191A"/>
          <w:sz w:val="27"/>
          <w:szCs w:val="27"/>
        </w:rPr>
        <w:t>,</w:t>
      </w:r>
      <w:r>
        <w:rPr>
          <w:rFonts w:ascii="Titillium Web" w:hAnsi="Titillium Web"/>
          <w:color w:val="19191A"/>
          <w:sz w:val="27"/>
          <w:szCs w:val="27"/>
        </w:rPr>
        <w:t xml:space="preserve"> fra cui anche le scuole, </w:t>
      </w:r>
      <w:r w:rsidRPr="00006966">
        <w:rPr>
          <w:rFonts w:ascii="Titillium Web" w:hAnsi="Titillium Web"/>
          <w:color w:val="19191A"/>
          <w:sz w:val="27"/>
          <w:szCs w:val="27"/>
        </w:rPr>
        <w:t>tale compito è affidato a quest’ultimo per la gestione del canale interno di segnalazione.</w:t>
      </w:r>
      <w:r>
        <w:rPr>
          <w:rFonts w:ascii="Titillium Web" w:hAnsi="Titillium Web"/>
          <w:color w:val="19191A"/>
          <w:sz w:val="27"/>
          <w:szCs w:val="27"/>
        </w:rPr>
        <w:t xml:space="preserve"> In particolare la Delibera ANAC 430/2016, così come richiamato anche nel </w:t>
      </w:r>
      <w:r w:rsidRPr="006A650C">
        <w:rPr>
          <w:rStyle w:val="Enfasigrassetto"/>
          <w:rFonts w:ascii="Titillium Web" w:hAnsi="Titillium Web"/>
          <w:b w:val="0"/>
          <w:bCs w:val="0"/>
          <w:color w:val="19191A"/>
          <w:sz w:val="27"/>
          <w:szCs w:val="27"/>
        </w:rPr>
        <w:t>PIANO TRIENNALE DELLA PREVENZIONE DELLA CORRUZIONE E PER LA TRASPARENZA delle Istituzioni scolastiche del</w:t>
      </w:r>
      <w:r w:rsidR="006A650C" w:rsidRPr="006A650C">
        <w:rPr>
          <w:rStyle w:val="Enfasigrassetto"/>
          <w:rFonts w:ascii="Titillium Web" w:hAnsi="Titillium Web"/>
          <w:b w:val="0"/>
          <w:bCs w:val="0"/>
          <w:color w:val="19191A"/>
          <w:sz w:val="27"/>
          <w:szCs w:val="27"/>
        </w:rPr>
        <w:t>la LOMBARDIA</w:t>
      </w:r>
      <w:r w:rsidRPr="006A650C">
        <w:rPr>
          <w:rStyle w:val="Enfasigrassetto"/>
          <w:rFonts w:ascii="Titillium Web" w:hAnsi="Titillium Web"/>
          <w:b w:val="0"/>
          <w:bCs w:val="0"/>
          <w:color w:val="19191A"/>
          <w:sz w:val="27"/>
          <w:szCs w:val="27"/>
        </w:rPr>
        <w:t xml:space="preserve"> - Aggiornamento 2023-2025</w:t>
      </w:r>
      <w:r>
        <w:rPr>
          <w:rStyle w:val="Enfasigrassetto"/>
          <w:rFonts w:ascii="Titillium Web" w:hAnsi="Titillium Web"/>
          <w:color w:val="19191A"/>
          <w:sz w:val="27"/>
          <w:szCs w:val="27"/>
        </w:rPr>
        <w:t xml:space="preserve"> </w:t>
      </w:r>
      <w:r w:rsidRPr="006A650C">
        <w:rPr>
          <w:rStyle w:val="Enfasigrassetto"/>
          <w:rFonts w:ascii="Titillium Web" w:hAnsi="Titillium Web"/>
          <w:b w:val="0"/>
          <w:bCs w:val="0"/>
          <w:color w:val="19191A"/>
          <w:sz w:val="27"/>
          <w:szCs w:val="27"/>
        </w:rPr>
        <w:t>vedasi allegato</w:t>
      </w:r>
      <w:r>
        <w:rPr>
          <w:rFonts w:ascii="Titillium Web" w:hAnsi="Titillium Web"/>
          <w:color w:val="19191A"/>
          <w:sz w:val="27"/>
          <w:szCs w:val="27"/>
        </w:rPr>
        <w:t xml:space="preserve">, tenendo conto della struttura periferica del sistema scolastico e delle relazioni tra le singole istituzioni scolastiche ed il Ministero dell’Istruzione e del Merito, individua </w:t>
      </w:r>
      <w:r w:rsidRPr="006A650C">
        <w:rPr>
          <w:rFonts w:ascii="Titillium Web" w:hAnsi="Titillium Web"/>
          <w:color w:val="19191A"/>
          <w:sz w:val="27"/>
          <w:szCs w:val="27"/>
        </w:rPr>
        <w:t>nel </w:t>
      </w:r>
      <w:r w:rsidRPr="006A650C">
        <w:rPr>
          <w:rStyle w:val="Enfasigrassetto"/>
          <w:rFonts w:ascii="Titillium Web" w:hAnsi="Titillium Web"/>
          <w:b w:val="0"/>
          <w:bCs w:val="0"/>
          <w:color w:val="19191A"/>
          <w:sz w:val="27"/>
          <w:szCs w:val="27"/>
        </w:rPr>
        <w:t>Direttore dell’Ufficio scolastico regionale, o, ove previsto, nel coordinatore regionale, la predetta figura di RCPT</w:t>
      </w:r>
      <w:r>
        <w:rPr>
          <w:rFonts w:ascii="Titillium Web" w:hAnsi="Titillium Web"/>
          <w:color w:val="19191A"/>
          <w:sz w:val="27"/>
          <w:szCs w:val="27"/>
        </w:rPr>
        <w:t>, nonché dei suoi referenti (vedasi art. 11 del predetto PTPCT) cui vanno inviate le segnalazioni di fatti che configurano ipotesi di corruzione, limitatamente alle scuole.</w:t>
      </w:r>
    </w:p>
    <w:p w14:paraId="0A86917F" w14:textId="77777777" w:rsidR="00D07D15" w:rsidRDefault="00D07D15" w:rsidP="00D07D15">
      <w:pPr>
        <w:pStyle w:val="NormaleWeb"/>
        <w:shd w:val="clear" w:color="auto" w:fill="FFFFFF"/>
        <w:spacing w:before="0" w:beforeAutospacing="0"/>
        <w:rPr>
          <w:rFonts w:ascii="Titillium Web" w:hAnsi="Titillium Web"/>
          <w:color w:val="19191A"/>
          <w:sz w:val="27"/>
          <w:szCs w:val="27"/>
        </w:rPr>
      </w:pPr>
      <w:r>
        <w:rPr>
          <w:rStyle w:val="Enfasigrassetto"/>
          <w:rFonts w:ascii="Titillium Web" w:hAnsi="Titillium Web"/>
          <w:color w:val="19191A"/>
          <w:sz w:val="27"/>
          <w:szCs w:val="27"/>
        </w:rPr>
        <w:t>CONTATTI</w:t>
      </w:r>
      <w:r>
        <w:rPr>
          <w:rFonts w:ascii="Titillium Web" w:hAnsi="Titillium Web"/>
          <w:color w:val="19191A"/>
          <w:sz w:val="27"/>
          <w:szCs w:val="27"/>
        </w:rPr>
        <w:t>:</w:t>
      </w:r>
    </w:p>
    <w:tbl>
      <w:tblPr>
        <w:tblW w:w="102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3"/>
        <w:gridCol w:w="1678"/>
        <w:gridCol w:w="4590"/>
        <w:gridCol w:w="2786"/>
      </w:tblGrid>
      <w:tr w:rsidR="006A650C" w14:paraId="182DC245" w14:textId="77777777" w:rsidTr="009213CF">
        <w:trPr>
          <w:trHeight w:val="527"/>
        </w:trPr>
        <w:tc>
          <w:tcPr>
            <w:tcW w:w="1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ED4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886B62" w14:textId="77777777" w:rsidR="00D07D15" w:rsidRDefault="00D07D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Enfasigrassetto"/>
              </w:rPr>
              <w:t>Ufficio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ED4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8C7BEB" w14:textId="77777777" w:rsidR="00D07D15" w:rsidRDefault="00D07D15">
            <w:r>
              <w:rPr>
                <w:rStyle w:val="Enfasigrassetto"/>
              </w:rPr>
              <w:t> Competenza</w:t>
            </w:r>
          </w:p>
        </w:tc>
        <w:tc>
          <w:tcPr>
            <w:tcW w:w="4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ED4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7AE719" w14:textId="77777777" w:rsidR="00D07D15" w:rsidRDefault="00D07D15">
            <w:r>
              <w:rPr>
                <w:rStyle w:val="Enfasigrassetto"/>
              </w:rPr>
              <w:t>PEO</w:t>
            </w:r>
          </w:p>
        </w:tc>
        <w:tc>
          <w:tcPr>
            <w:tcW w:w="2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ED4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008651" w14:textId="77777777" w:rsidR="00D07D15" w:rsidRDefault="00D07D15">
            <w:r>
              <w:rPr>
                <w:rStyle w:val="Enfasigrassetto"/>
              </w:rPr>
              <w:t>PEC</w:t>
            </w:r>
          </w:p>
        </w:tc>
      </w:tr>
      <w:tr w:rsidR="006A650C" w14:paraId="55855DF9" w14:textId="77777777" w:rsidTr="009213CF">
        <w:trPr>
          <w:trHeight w:val="527"/>
        </w:trPr>
        <w:tc>
          <w:tcPr>
            <w:tcW w:w="1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8299D3" w14:textId="77777777" w:rsidR="00D07D15" w:rsidRDefault="00D07D15">
            <w:r>
              <w:rPr>
                <w:sz w:val="21"/>
                <w:szCs w:val="21"/>
              </w:rPr>
              <w:t>Direzione Generale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53F570" w14:textId="77777777" w:rsidR="00D07D15" w:rsidRDefault="00D07D15">
            <w:r>
              <w:rPr>
                <w:sz w:val="21"/>
                <w:szCs w:val="21"/>
              </w:rPr>
              <w:t> Segreteria</w:t>
            </w:r>
          </w:p>
        </w:tc>
        <w:tc>
          <w:tcPr>
            <w:tcW w:w="4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FBB5F6" w14:textId="180F2CDF" w:rsidR="006A650C" w:rsidRDefault="00000000">
            <w:hyperlink r:id="rId5" w:tgtFrame="_blank" w:history="1">
              <w:r w:rsidR="006A650C" w:rsidRPr="006A650C">
                <w:rPr>
                  <w:rStyle w:val="Collegamentoipertestuale"/>
                  <w:color w:val="0000EE"/>
                  <w:sz w:val="21"/>
                  <w:szCs w:val="21"/>
                </w:rPr>
                <w:t>direzione-lombardia@istruzione.it</w:t>
              </w:r>
            </w:hyperlink>
          </w:p>
        </w:tc>
        <w:tc>
          <w:tcPr>
            <w:tcW w:w="2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EF833B" w14:textId="28E39FB8" w:rsidR="00D07D15" w:rsidRDefault="00000000">
            <w:pPr>
              <w:rPr>
                <w:sz w:val="21"/>
                <w:szCs w:val="21"/>
              </w:rPr>
            </w:pPr>
            <w:hyperlink r:id="rId6" w:history="1">
              <w:r w:rsidR="009213CF" w:rsidRPr="00C17CED">
                <w:rPr>
                  <w:rStyle w:val="Collegamentoipertestuale"/>
                  <w:sz w:val="21"/>
                  <w:szCs w:val="21"/>
                </w:rPr>
                <w:t>drve@postacert.istruzione.it</w:t>
              </w:r>
            </w:hyperlink>
          </w:p>
          <w:p w14:paraId="218063E7" w14:textId="1D8FA408" w:rsidR="009213CF" w:rsidRDefault="009213CF"/>
        </w:tc>
      </w:tr>
    </w:tbl>
    <w:p w14:paraId="4F3E6245" w14:textId="77777777" w:rsidR="009213CF" w:rsidRDefault="009213CF" w:rsidP="00D07D15">
      <w:pPr>
        <w:pStyle w:val="NormaleWeb"/>
        <w:shd w:val="clear" w:color="auto" w:fill="FFFFFF"/>
        <w:spacing w:before="0" w:beforeAutospacing="0"/>
        <w:rPr>
          <w:rFonts w:ascii="Titillium Web" w:hAnsi="Titillium Web"/>
          <w:color w:val="19191A"/>
          <w:sz w:val="27"/>
          <w:szCs w:val="27"/>
        </w:rPr>
      </w:pPr>
    </w:p>
    <w:p w14:paraId="5C81870B" w14:textId="094FA375" w:rsidR="00D07D15" w:rsidRDefault="00D07D15" w:rsidP="00D07D15">
      <w:pPr>
        <w:pStyle w:val="NormaleWeb"/>
        <w:shd w:val="clear" w:color="auto" w:fill="FFFFFF"/>
        <w:spacing w:before="0" w:beforeAutospacing="0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Spetta pertanto al RCPT effettuare una valutazione preliminare della segnalazione e, qualora e ne ravvisi il </w:t>
      </w:r>
      <w:r w:rsidRPr="009213CF">
        <w:rPr>
          <w:rStyle w:val="Enfasicorsivo"/>
          <w:rFonts w:ascii="Titillium Web" w:hAnsi="Titillium Web"/>
          <w:i w:val="0"/>
          <w:iCs w:val="0"/>
          <w:color w:val="19191A"/>
          <w:sz w:val="27"/>
          <w:szCs w:val="27"/>
        </w:rPr>
        <w:t>fumus</w:t>
      </w:r>
      <w:r>
        <w:rPr>
          <w:rFonts w:ascii="Titillium Web" w:hAnsi="Titillium Web"/>
          <w:color w:val="19191A"/>
          <w:sz w:val="27"/>
          <w:szCs w:val="27"/>
        </w:rPr>
        <w:t> della fondatezza, inoltrarla ai soggetti previsti per Legge.</w:t>
      </w:r>
    </w:p>
    <w:p w14:paraId="702686CA" w14:textId="77777777" w:rsidR="00D07D15" w:rsidRDefault="00D07D15" w:rsidP="00D07D15">
      <w:pPr>
        <w:pStyle w:val="Titolo4"/>
        <w:shd w:val="clear" w:color="auto" w:fill="FFFFFF"/>
        <w:spacing w:before="0" w:after="120"/>
        <w:jc w:val="both"/>
        <w:rPr>
          <w:rFonts w:ascii="Titillium Web" w:hAnsi="Titillium Web"/>
          <w:color w:val="19191A"/>
          <w:sz w:val="24"/>
          <w:szCs w:val="24"/>
        </w:rPr>
      </w:pPr>
      <w:r>
        <w:rPr>
          <w:rStyle w:val="Enfasigrassetto"/>
          <w:rFonts w:ascii="Titillium Web" w:hAnsi="Titillium Web"/>
          <w:b w:val="0"/>
          <w:bCs w:val="0"/>
          <w:color w:val="236FA1"/>
          <w:sz w:val="36"/>
          <w:szCs w:val="36"/>
        </w:rPr>
        <w:t>2. Canale esterno</w:t>
      </w:r>
    </w:p>
    <w:p w14:paraId="110DE367" w14:textId="28A19A9A" w:rsidR="00D07D15" w:rsidRDefault="00D07D15" w:rsidP="00D07D15">
      <w:pPr>
        <w:pStyle w:val="NormaleWeb"/>
        <w:shd w:val="clear" w:color="auto" w:fill="FFFFFF"/>
        <w:spacing w:before="0" w:beforeAutospacing="0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 xml:space="preserve">Solo al ricorrere di una delle condizioni di cui all’art. 6 è possibile effettuare una segnalazione </w:t>
      </w:r>
      <w:proofErr w:type="gramStart"/>
      <w:r>
        <w:rPr>
          <w:rFonts w:ascii="Titillium Web" w:hAnsi="Titillium Web"/>
          <w:color w:val="19191A"/>
          <w:sz w:val="27"/>
          <w:szCs w:val="27"/>
        </w:rPr>
        <w:t>esterna</w:t>
      </w:r>
      <w:proofErr w:type="gramEnd"/>
      <w:r>
        <w:rPr>
          <w:rFonts w:ascii="Titillium Web" w:hAnsi="Titillium Web"/>
          <w:color w:val="19191A"/>
          <w:sz w:val="27"/>
          <w:szCs w:val="27"/>
        </w:rPr>
        <w:t xml:space="preserve"> cioè nei seguenti </w:t>
      </w:r>
      <w:r w:rsidR="00D91A05">
        <w:rPr>
          <w:rFonts w:ascii="Titillium Web" w:hAnsi="Titillium Web"/>
          <w:color w:val="19191A"/>
          <w:sz w:val="27"/>
          <w:szCs w:val="27"/>
        </w:rPr>
        <w:t>casi:</w:t>
      </w:r>
      <w:r>
        <w:rPr>
          <w:rFonts w:ascii="Titillium Web" w:hAnsi="Titillium Web"/>
          <w:color w:val="19191A"/>
          <w:sz w:val="27"/>
          <w:szCs w:val="27"/>
        </w:rPr>
        <w:t> </w:t>
      </w:r>
    </w:p>
    <w:p w14:paraId="5CD9AF2C" w14:textId="77777777" w:rsidR="00D07D15" w:rsidRDefault="00D07D15" w:rsidP="00D07D1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lastRenderedPageBreak/>
        <w:t>Non è stato previsto un canale interno o, se previsto, lo stesso non risulta conforme a quanto prescritto dal Decreto Whistleblowing; </w:t>
      </w:r>
    </w:p>
    <w:p w14:paraId="26221323" w14:textId="77777777" w:rsidR="00D07D15" w:rsidRDefault="00D07D15" w:rsidP="00D07D1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La sua Segnalazione non ha ricevuto seguito;</w:t>
      </w:r>
    </w:p>
    <w:p w14:paraId="0444EBA0" w14:textId="77777777" w:rsidR="00D07D15" w:rsidRDefault="00D07D15" w:rsidP="00D07D1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Il Segnalante ha fondato motivo di ritenere che la Segnalazione, ove effettuata, non riceverebbe adeguato seguito o potrebbe determinare rischi di ritorsione;</w:t>
      </w:r>
    </w:p>
    <w:p w14:paraId="63101EA8" w14:textId="77777777" w:rsidR="00D07D15" w:rsidRDefault="00D07D15" w:rsidP="00D07D1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Il Segnalante ha fondato motivo di ritenere che la violazione possa costituire un pericolo imminente o palese per l’interesse pubblico.</w:t>
      </w:r>
    </w:p>
    <w:p w14:paraId="7C750272" w14:textId="741074AD" w:rsidR="00D07D15" w:rsidRPr="00D91A05" w:rsidRDefault="00D07D15" w:rsidP="00D07D15">
      <w:pPr>
        <w:pStyle w:val="NormaleWeb"/>
        <w:shd w:val="clear" w:color="auto" w:fill="FFFFFF"/>
        <w:spacing w:before="0" w:beforeAutospacing="0"/>
        <w:jc w:val="both"/>
        <w:rPr>
          <w:rFonts w:ascii="Titillium Web" w:hAnsi="Titillium Web"/>
          <w:b/>
          <w:bCs/>
          <w:color w:val="19191A"/>
          <w:sz w:val="27"/>
          <w:szCs w:val="27"/>
        </w:rPr>
      </w:pPr>
      <w:r w:rsidRPr="00D91A05">
        <w:rPr>
          <w:rStyle w:val="Enfasigrassetto"/>
          <w:rFonts w:ascii="Titillium Web" w:hAnsi="Titillium Web"/>
          <w:b w:val="0"/>
          <w:bCs w:val="0"/>
          <w:color w:val="19191A"/>
          <w:sz w:val="27"/>
          <w:szCs w:val="27"/>
        </w:rPr>
        <w:t>L’Autorità competente per le segnalazioni esterne, anche del settore privato, è </w:t>
      </w:r>
      <w:r w:rsidR="00D91A05">
        <w:rPr>
          <w:rStyle w:val="Enfasigrassetto"/>
          <w:rFonts w:ascii="Titillium Web" w:hAnsi="Titillium Web"/>
          <w:b w:val="0"/>
          <w:bCs w:val="0"/>
          <w:color w:val="19191A"/>
          <w:sz w:val="27"/>
          <w:szCs w:val="27"/>
        </w:rPr>
        <w:t>l’ANAC.</w:t>
      </w:r>
      <w:r w:rsidR="00D91A05" w:rsidRPr="00D91A05">
        <w:rPr>
          <w:rFonts w:ascii="Titillium Web" w:hAnsi="Titillium Web"/>
          <w:b/>
          <w:bCs/>
          <w:color w:val="19191A"/>
          <w:sz w:val="27"/>
          <w:szCs w:val="27"/>
        </w:rPr>
        <w:t xml:space="preserve"> </w:t>
      </w:r>
    </w:p>
    <w:p w14:paraId="2FEBD370" w14:textId="77777777" w:rsidR="00D07D15" w:rsidRDefault="00D07D15" w:rsidP="00D07D15">
      <w:pPr>
        <w:shd w:val="clear" w:color="auto" w:fill="FFFFFF"/>
        <w:spacing w:after="100" w:afterAutospacing="1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Al ricevimento della segnalazione, l’ANAC è tenuto a:</w:t>
      </w:r>
    </w:p>
    <w:p w14:paraId="051B4BA1" w14:textId="0E6F19D3" w:rsidR="00D07D15" w:rsidRDefault="00D07D15" w:rsidP="00D07D1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 xml:space="preserve">dare avviso alla persona segnalante del ricevimento della segnalazione entro </w:t>
      </w:r>
      <w:proofErr w:type="gramStart"/>
      <w:r>
        <w:rPr>
          <w:rFonts w:ascii="Titillium Web" w:hAnsi="Titillium Web"/>
          <w:color w:val="19191A"/>
          <w:sz w:val="27"/>
          <w:szCs w:val="27"/>
        </w:rPr>
        <w:t>7</w:t>
      </w:r>
      <w:proofErr w:type="gramEnd"/>
      <w:r>
        <w:rPr>
          <w:rFonts w:ascii="Titillium Web" w:hAnsi="Titillium Web"/>
          <w:color w:val="19191A"/>
          <w:sz w:val="27"/>
          <w:szCs w:val="27"/>
        </w:rPr>
        <w:t xml:space="preserve"> giorni dalla data del suo ricevimento, salvo esplicita richiesta contraria della persona segnalante ovvero salvo il caso in cui l'ANAC ritenga che l'avviso pregiudicherebbe la protezione della riservatezza </w:t>
      </w:r>
      <w:r w:rsidR="00D91A05">
        <w:rPr>
          <w:rFonts w:ascii="Titillium Web" w:hAnsi="Titillium Web"/>
          <w:color w:val="19191A"/>
          <w:sz w:val="27"/>
          <w:szCs w:val="27"/>
        </w:rPr>
        <w:t>dell’identità</w:t>
      </w:r>
      <w:r>
        <w:rPr>
          <w:rFonts w:ascii="Titillium Web" w:hAnsi="Titillium Web"/>
          <w:color w:val="19191A"/>
          <w:sz w:val="27"/>
          <w:szCs w:val="27"/>
        </w:rPr>
        <w:t xml:space="preserve"> della persona segnalante;</w:t>
      </w:r>
    </w:p>
    <w:p w14:paraId="03310E19" w14:textId="77777777" w:rsidR="00D07D15" w:rsidRDefault="00D07D15" w:rsidP="00D07D1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mantenere le interlocuzioni con la persona segnalante e richiedere a quest'ultima, se necessario, integrazioni;</w:t>
      </w:r>
    </w:p>
    <w:p w14:paraId="0BF687D0" w14:textId="77777777" w:rsidR="00D07D15" w:rsidRDefault="00D07D15" w:rsidP="00D07D1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dare diligente seguito alle segnalazioni ricevute;</w:t>
      </w:r>
    </w:p>
    <w:p w14:paraId="0BC4E8EC" w14:textId="77777777" w:rsidR="00D07D15" w:rsidRDefault="00D07D15" w:rsidP="00D07D1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svolgere l'istruttoria necessaria a dare seguito alla segnalazione, anche mediante audizioni e acquisizione di documenti;</w:t>
      </w:r>
    </w:p>
    <w:p w14:paraId="1C284C3E" w14:textId="77777777" w:rsidR="00D07D15" w:rsidRDefault="00D07D15" w:rsidP="00D07D1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dare riscontro alla persona segnalante entro 3 mesi o, se ricorrono giustificate e motivate ragioni, 6 mesi dalla data di avviso di ricevimento della segnalazione esterna o, in mancanza di detto avviso, dalla scadenza dei 7 giorni dal ricevimento;</w:t>
      </w:r>
    </w:p>
    <w:p w14:paraId="510198AE" w14:textId="77777777" w:rsidR="00D07D15" w:rsidRDefault="00D07D15" w:rsidP="00D07D1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comunicare alla persona segnalante l'esito finale della segnalazione.</w:t>
      </w:r>
    </w:p>
    <w:p w14:paraId="454B19F6" w14:textId="77777777" w:rsidR="00D07D15" w:rsidRDefault="00D07D15" w:rsidP="00D07D15">
      <w:pPr>
        <w:pStyle w:val="Titolo4"/>
        <w:shd w:val="clear" w:color="auto" w:fill="FFFFFF"/>
        <w:spacing w:before="0" w:after="120"/>
        <w:rPr>
          <w:rFonts w:ascii="Titillium Web" w:hAnsi="Titillium Web"/>
          <w:color w:val="19191A"/>
          <w:sz w:val="24"/>
          <w:szCs w:val="24"/>
        </w:rPr>
      </w:pPr>
      <w:r>
        <w:rPr>
          <w:rStyle w:val="Enfasigrassetto"/>
          <w:rFonts w:ascii="Titillium Web" w:hAnsi="Titillium Web"/>
          <w:b w:val="0"/>
          <w:bCs w:val="0"/>
          <w:color w:val="236FA1"/>
          <w:sz w:val="36"/>
          <w:szCs w:val="36"/>
        </w:rPr>
        <w:t>3. Divulgazione pubblica</w:t>
      </w:r>
    </w:p>
    <w:p w14:paraId="6D2FC888" w14:textId="77777777" w:rsidR="00D07D15" w:rsidRDefault="00D07D15" w:rsidP="00D07D15">
      <w:pPr>
        <w:shd w:val="clear" w:color="auto" w:fill="FFFFFF"/>
        <w:spacing w:after="100" w:afterAutospacing="1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I segnalanti possono inoltre effettuare direttamente una divulgazione pubblica quando:</w:t>
      </w:r>
    </w:p>
    <w:p w14:paraId="5D2D0543" w14:textId="77777777" w:rsidR="00D07D15" w:rsidRDefault="00D07D15" w:rsidP="00D07D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Il segnalante ha previamente effettuato una segnalazione interna ed esterna, o ha effettuato direttamente una segnalazione esterna, e non è stato dato riscontro entro i termini stabiliti;</w:t>
      </w:r>
    </w:p>
    <w:p w14:paraId="232FBEEC" w14:textId="77777777" w:rsidR="00D07D15" w:rsidRDefault="00D07D15" w:rsidP="00D07D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lastRenderedPageBreak/>
        <w:t>la persona segnalante ha fondato motivo di ritenere che la violazione possa costituire un pericolo imminente o palese per il pubblico interesse;</w:t>
      </w:r>
    </w:p>
    <w:p w14:paraId="79BC2691" w14:textId="77777777" w:rsidR="00D07D15" w:rsidRDefault="00D07D15" w:rsidP="00D07D1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tillium Web" w:hAnsi="Titillium Web"/>
          <w:color w:val="19191A"/>
          <w:sz w:val="27"/>
          <w:szCs w:val="27"/>
        </w:rPr>
      </w:pPr>
      <w:r>
        <w:rPr>
          <w:rFonts w:ascii="Titillium Web" w:hAnsi="Titillium Web"/>
          <w:color w:val="19191A"/>
          <w:sz w:val="27"/>
          <w:szCs w:val="27"/>
        </w:rPr>
        <w:t>la persona segnalante ha fondato motivo di ritenere che la segnalazione esterna possa comportare il rischio di ritorsioni o possa non avere efficace seguito in ragione delle specifiche circostanze del caso concreto, come quelle in cui possano essere occultate o distrutte prove oppure in cui vi sia fondato timore che chi ha ricevuto la segnalazione possa essere colluso con l'autore della violazione o coinvolto nella violazione stessa.</w:t>
      </w:r>
    </w:p>
    <w:p w14:paraId="75526FEE" w14:textId="573E5B10" w:rsidR="00D07D15" w:rsidRPr="00D07D15" w:rsidRDefault="00D07D15" w:rsidP="00D07D15"/>
    <w:sectPr w:rsidR="00D07D15" w:rsidRPr="00D07D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76084"/>
    <w:multiLevelType w:val="multilevel"/>
    <w:tmpl w:val="DD6C0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77116D"/>
    <w:multiLevelType w:val="multilevel"/>
    <w:tmpl w:val="713C8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3D4ECA"/>
    <w:multiLevelType w:val="multilevel"/>
    <w:tmpl w:val="BD087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CD64FE"/>
    <w:multiLevelType w:val="multilevel"/>
    <w:tmpl w:val="4F6AE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203E18"/>
    <w:multiLevelType w:val="multilevel"/>
    <w:tmpl w:val="B98E2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4852278">
    <w:abstractNumId w:val="2"/>
  </w:num>
  <w:num w:numId="2" w16cid:durableId="981008488">
    <w:abstractNumId w:val="4"/>
  </w:num>
  <w:num w:numId="3" w16cid:durableId="1091507527">
    <w:abstractNumId w:val="1"/>
  </w:num>
  <w:num w:numId="4" w16cid:durableId="607273410">
    <w:abstractNumId w:val="0"/>
  </w:num>
  <w:num w:numId="5" w16cid:durableId="5456060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D15"/>
    <w:rsid w:val="00006966"/>
    <w:rsid w:val="000F7BE7"/>
    <w:rsid w:val="00281F04"/>
    <w:rsid w:val="006A650C"/>
    <w:rsid w:val="009213CF"/>
    <w:rsid w:val="00D07D15"/>
    <w:rsid w:val="00D91A05"/>
    <w:rsid w:val="00EE43CE"/>
    <w:rsid w:val="00FD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E5C7E"/>
  <w15:chartTrackingRefBased/>
  <w15:docId w15:val="{FA3DACE2-89E3-440C-AB65-584DE240D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07D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07D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07D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link w:val="Titolo5Carattere"/>
    <w:uiPriority w:val="9"/>
    <w:qFormat/>
    <w:rsid w:val="00D07D1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rsid w:val="00D07D15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07D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07D1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07D1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eWeb">
    <w:name w:val="Normal (Web)"/>
    <w:basedOn w:val="Normale"/>
    <w:uiPriority w:val="99"/>
    <w:semiHidden/>
    <w:unhideWhenUsed/>
    <w:rsid w:val="00D07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D07D15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07D15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D07D15"/>
    <w:rPr>
      <w:i/>
      <w:iCs/>
    </w:rPr>
  </w:style>
  <w:style w:type="character" w:styleId="Menzionenonrisolta">
    <w:name w:val="Unresolved Mention"/>
    <w:basedOn w:val="Carpredefinitoparagrafo"/>
    <w:uiPriority w:val="99"/>
    <w:semiHidden/>
    <w:unhideWhenUsed/>
    <w:rsid w:val="006A6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2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1645">
          <w:marLeft w:val="-90"/>
          <w:marRight w:val="-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79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164708">
          <w:marLeft w:val="-90"/>
          <w:marRight w:val="-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3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ve@postacert.istruzione.it" TargetMode="External"/><Relationship Id="rId5" Type="http://schemas.openxmlformats.org/officeDocument/2006/relationships/hyperlink" Target="mailto:direzione-lombardia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Doria</dc:creator>
  <cp:keywords/>
  <dc:description/>
  <cp:lastModifiedBy>Roberto Doria</cp:lastModifiedBy>
  <cp:revision>2</cp:revision>
  <dcterms:created xsi:type="dcterms:W3CDTF">2023-11-15T08:30:00Z</dcterms:created>
  <dcterms:modified xsi:type="dcterms:W3CDTF">2023-11-22T10:05:00Z</dcterms:modified>
</cp:coreProperties>
</file>